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 утверждении регионального плана по профилактике и лечению хронического вирусного гепатита С до 2030 года на территории Еврейской автономной области </w:t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5 Плана мероприятий по борьбе с хроническим вирусным гепатитом С на территории Российской Федерации в период до 2030 года, утвержденным распоряжением Правительства Российской Федерации от 02.11.2022 № 3306-р: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Утвердить прилагаемый региональный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план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профилактике и лечению хронического вирусного гепатита С до 2030 года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/>
      <w:r/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hd w:val="nil" w:color="000000"/>
        <w:rPr>
          <w:rFonts w:ascii="Times New Roman" w:hAnsi="Times New Roman" w:cs="Times New Roman"/>
          <w:sz w:val="28"/>
          <w:szCs w:val="28"/>
        </w:rPr>
        <w:sectPr>
          <w:headerReference w:type="default" r:id="rId8"/>
          <w:headerReference w:type="even" r:id="rId9"/>
          <w:headerReference w:type="first" r:id="rId10"/>
          <w:footerReference w:type="default" r:id="rId11"/>
          <w:footerReference w:type="even" r:id="rId12"/>
          <w:footerReference w:type="first" r:id="rId13"/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pgNumType w:start="0"/>
          <w:cols w:num="1" w:sep="0" w:space="708" w:equalWidth="1"/>
          <w:docGrid w:linePitch="360"/>
          <w:titlePg/>
        </w:sect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10346" w:right="0" w:firstLine="0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10346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Распоряжением правительства </w:t>
      </w:r>
      <w:r/>
    </w:p>
    <w:p>
      <w:pPr>
        <w:contextualSpacing/>
        <w:ind w:left="10346" w:right="0" w:firstLine="0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Еврейской автономной области</w:t>
      </w:r>
      <w:r/>
    </w:p>
    <w:p>
      <w:pPr>
        <w:contextualSpacing/>
        <w:ind w:left="10346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none"/>
        </w:rPr>
        <w:t xml:space="preserve">«___»_________________№_______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10346" w:right="0" w:firstLine="0"/>
        <w:jc w:val="center"/>
      </w:pPr>
      <w:r/>
      <w:r/>
    </w:p>
    <w:p>
      <w:pPr>
        <w:contextualSpacing/>
        <w:ind w:left="10346" w:right="0" w:firstLine="0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jc w:val="center"/>
        <w:spacing w:line="283" w:lineRule="atLeast"/>
      </w:pPr>
      <w:r>
        <w:rPr>
          <w:rFonts w:ascii="Times New Roman" w:hAnsi="Times New Roman" w:cs="Times New Roman"/>
          <w:sz w:val="28"/>
          <w:szCs w:val="28"/>
        </w:rPr>
        <w:t xml:space="preserve">Региональный план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и лечению хронического вирусного</w:t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гепатита С до 2030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52"/>
        <w:tblW w:w="0" w:type="auto"/>
        <w:tblInd w:w="992" w:type="dxa"/>
        <w:tblLayout w:type="fixed"/>
        <w:tblLook w:val="04A0" w:firstRow="1" w:lastRow="0" w:firstColumn="1" w:lastColumn="0" w:noHBand="0" w:noVBand="1"/>
      </w:tblPr>
      <w:tblGrid>
        <w:gridCol w:w="567"/>
        <w:gridCol w:w="6094"/>
        <w:gridCol w:w="1701"/>
        <w:gridCol w:w="5386"/>
      </w:tblGrid>
      <w:tr>
        <w:trPr/>
        <w:tc>
          <w:tcPr>
            <w:tcW w:w="567" w:type="dxa"/>
            <w:textDirection w:val="lrTb"/>
            <w:noWrap w:val="false"/>
          </w:tcPr>
          <w:p>
            <w:r>
              <w:t xml:space="preserve">№ п/п</w:t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исполнения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исполнители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W w:w="131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Совершенствование системы выявления и профилактики хронического вирусного гепатита C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информационно-коммуникационной кампании по вопросам профилактики вирусного гепатита C, включая профилактику вирусного гепатита C в группах населения с повышенным риском инфицирования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областное государственное бюджетное учреждение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«Областная больница»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раннему выявлению, профилактике вирусного гепатита C, а также повышению настороженности населения в отношении гепатита C, в том числе в рамках Всемирного дня борьбы с гепатитом.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областное государственное бюджетное учреждение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«Областная больница»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информационно-просветительских мероприятий для работодателей и работников по вопросам профилактики вирусного гепатита C на рабочих местах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областное государственное бюджетное учреждение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«Областная больница»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скрининговых мероприятий по выявлению вирусного гепатита C, а также выявление хронического вирусного гепатита среди контингентов, подлежащих обязательному обследованию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областное государственное бюджетное учреждение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«Областная больница»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против вирусного гепатита B пациентов с хроническим вирусным гепатитом C при отсутствии у них маркеров инфицирования вирусом гепатита B и антител к поверхностному антигену вируса гепатита B (анти-HBs)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областное государственное бюджетное учреждение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«Областная больница»</w:t>
            </w:r>
            <w:r>
              <w:rPr>
                <w:sz w:val="24"/>
                <w:szCs w:val="24"/>
              </w:rPr>
            </w:r>
            <w:r/>
          </w:p>
        </w:tc>
      </w:tr>
    </w:tbl>
    <w:tbl>
      <w:tblPr>
        <w:tblStyle w:val="752"/>
        <w:tblW w:w="0" w:type="auto"/>
        <w:tblInd w:w="992" w:type="dxa"/>
        <w:tblLayout w:type="fixed"/>
        <w:tblLook w:val="04A0" w:firstRow="1" w:lastRow="0" w:firstColumn="1" w:lastColumn="0" w:noHBand="0" w:noVBand="1"/>
      </w:tblPr>
      <w:tblGrid>
        <w:gridCol w:w="567"/>
        <w:gridCol w:w="6094"/>
        <w:gridCol w:w="1701"/>
        <w:gridCol w:w="5386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131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учета и оказания медицинской помощи больным с хроническим вирусным гепатитом C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единого регистра пациентов с хроническим вирусным гепатитом C в рамках единой государственной информационной системы в сфере здравоохранения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области.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8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примеров передовой практики работы по организации оказания медицинской помощи пациентам с хроническим вирусным гепатитом C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в рамках территориальной программы государственных гарантий бесплатного оказания гражданам медицинской помощи амбулаторного диагностического тарифа для постановки диагноза и назначения терапии пациентам с хроническим вирусным гепатитом C 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ствии с клиническими рекомендациями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8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маршрутизации пациентов с хроническим вирусным гепатитом C в Еврейской автономной области, включая порядок назначения и получения пациентами противовирусной терапии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 оказании медицинской помощи пациентам с хроническим вирусным гепатитом C принципа расширения охвата противовирусной терапией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области.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Областные государственные учреждения здравоохранения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соблюдения медицинскими работниками, оказывающими медицинскую помощь пациентам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хроническим вирусным гепатитом 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Областные государственные учреждения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клинических рекомендаций и порядка проведения диспансерного наблюдения за взрослыми, устанавливающим требования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диспансерному наблюдению пациентов с хроническим вирусным гепатитом C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здравоохранения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W w:w="131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и проведение дополнительного профессионального образования работников областных учреждений здравоохранения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информированности медицинских работников всех специальностей, оказывающих медицинскую помощь пациентам с хроническим вирусным гепатитом C, по вопросам лечения и диспансерного наблюдения за такими пациентами (по программам повышения квалификации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профессиональной переподготовки)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Областные государственные учреждения здравоохранения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дополнительного профессионального образования медицинских работников, оказывающих медицинскую помощь пациентам с хроническим вирусным гепатитом C, по вопросам лечения и диспансерного наблюдения за такими пациентами (по программам повышения квали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фикации и программам профессиональной переподготовки)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Областные государственные учреждения здравоохранения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footnotePr/>
      <w:endnotePr/>
      <w:type w:val="continuous"/>
      <w:pgSz w:w="16838" w:h="11906" w:orient="landscape"/>
      <w:pgMar w:top="1276" w:right="1134" w:bottom="850" w:left="1134" w:header="80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</w:pPr>
    <w:fldSimple w:instr="PAGE \* MERGEFORMAT">
      <w:r>
        <w:t xml:space="preserve">1</w:t>
      </w:r>
    </w:fldSimple>
    <w:r/>
    <w:r/>
    <w:r/>
  </w:p>
  <w:p>
    <w:pPr>
      <w:pStyle w:val="746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2</w:t>
    </w:r>
    <w:r/>
  </w:p>
  <w:p>
    <w:pPr>
      <w:pStyle w:val="74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</w:pPr>
    <w:r/>
    <w:r/>
  </w:p>
  <w:p>
    <w:pPr>
      <w:pStyle w:val="74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6"/>
    <w:next w:val="896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6"/>
    <w:next w:val="896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6"/>
    <w:next w:val="89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basedOn w:val="8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2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3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4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5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6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7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9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3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6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0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qFormat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paragraph" w:styleId="899">
    <w:name w:val="No Spacing"/>
    <w:basedOn w:val="896"/>
    <w:uiPriority w:val="1"/>
    <w:qFormat/>
    <w:pPr>
      <w:spacing w:after="0" w:line="240" w:lineRule="auto"/>
    </w:pPr>
  </w:style>
  <w:style w:type="paragraph" w:styleId="900">
    <w:name w:val="List Paragraph"/>
    <w:basedOn w:val="896"/>
    <w:uiPriority w:val="34"/>
    <w:qFormat/>
    <w:pPr>
      <w:contextualSpacing/>
      <w:ind w:left="720"/>
    </w:pPr>
  </w:style>
  <w:style w:type="character" w:styleId="90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2023-08-04T01:25:38Z</dcterms:modified>
</cp:coreProperties>
</file>